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79B9" w:rsidRPr="002879B9" w:rsidRDefault="002879B9" w:rsidP="002879B9">
      <w:pPr>
        <w:shd w:val="clear" w:color="auto" w:fill="FFFFFF"/>
        <w:spacing w:after="225" w:line="240" w:lineRule="auto"/>
        <w:rPr>
          <w:rFonts w:ascii="Metric Medium" w:eastAsia="Times New Roman" w:hAnsi="Metric Medium" w:cs="Helvetica"/>
          <w:color w:val="000000"/>
          <w:sz w:val="21"/>
          <w:szCs w:val="21"/>
          <w:lang w:val="en"/>
        </w:rPr>
      </w:pPr>
      <w:bookmarkStart w:id="0" w:name="_GoBack"/>
      <w:bookmarkEnd w:id="0"/>
    </w:p>
    <w:p w:rsidR="002879B9" w:rsidRPr="002879B9" w:rsidRDefault="002879B9" w:rsidP="002879B9">
      <w:pPr>
        <w:shd w:val="clear" w:color="auto" w:fill="FFFFFF"/>
        <w:spacing w:after="225" w:line="240" w:lineRule="auto"/>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 xml:space="preserve">  </w:t>
      </w:r>
    </w:p>
    <w:p w:rsidR="002879B9" w:rsidRPr="002879B9" w:rsidRDefault="002879B9" w:rsidP="002879B9">
      <w:pPr>
        <w:shd w:val="clear" w:color="auto" w:fill="FFFFFF"/>
        <w:spacing w:after="225" w:line="240" w:lineRule="auto"/>
        <w:rPr>
          <w:rFonts w:ascii="Metric Medium" w:eastAsia="Times New Roman" w:hAnsi="Metric Medium" w:cs="Helvetica"/>
          <w:color w:val="000000"/>
          <w:sz w:val="21"/>
          <w:szCs w:val="21"/>
          <w:lang w:val="en"/>
        </w:rPr>
      </w:pPr>
    </w:p>
    <w:p w:rsidR="002879B9" w:rsidRDefault="002879B9" w:rsidP="002879B9">
      <w:pPr>
        <w:shd w:val="clear" w:color="auto" w:fill="FFFFFF"/>
        <w:spacing w:after="225" w:line="240" w:lineRule="auto"/>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How to use Virtualization Performance Viewer to solve resource sprawl</w:t>
      </w:r>
    </w:p>
    <w:p w:rsidR="002879B9" w:rsidRPr="002879B9" w:rsidRDefault="002879B9" w:rsidP="002879B9">
      <w:pPr>
        <w:shd w:val="clear" w:color="auto" w:fill="FFFFFF"/>
        <w:spacing w:after="225" w:line="240" w:lineRule="auto"/>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Resource Sprawl for a virtual machine occurs when the virtual machine does not use the resources (like CPU and  memory), properly and makes it difficult for the administrator to manage the resources effectively. Resource Sprawl leads to having virtual machines severely overused, underused or not used at all.Virtualization Performance Viewer enables us to view the number of undersized and oversized VMs in all Hypervisor based on CPU and memory utilization.  We know undersized VM reduce the application performance and oversized cause wastage of resources. HP Virtualization Performance Viewer gives right VM recommendations, so that we can make the VM right sized. </w:t>
      </w:r>
    </w:p>
    <w:p w:rsidR="002879B9" w:rsidRPr="002879B9" w:rsidRDefault="004024B9" w:rsidP="002879B9">
      <w:pPr>
        <w:shd w:val="clear" w:color="auto" w:fill="FFFFFF"/>
        <w:spacing w:after="225" w:line="240" w:lineRule="auto"/>
        <w:jc w:val="center"/>
        <w:rPr>
          <w:rFonts w:ascii="Metric Medium" w:eastAsia="Times New Roman" w:hAnsi="Metric Medium" w:cs="Helvetica"/>
          <w:color w:val="000000"/>
          <w:sz w:val="21"/>
          <w:szCs w:val="21"/>
          <w:lang w:val="en"/>
        </w:rPr>
      </w:pPr>
      <w:hyperlink r:id="rId5" w:tgtFrame="_blank" w:history="1">
        <w:r w:rsidR="002879B9" w:rsidRPr="002879B9">
          <w:rPr>
            <w:rFonts w:ascii="Metric Medium" w:eastAsia="Times New Roman" w:hAnsi="Metric Medium" w:cs="Helvetica"/>
            <w:b/>
            <w:bCs/>
            <w:color w:val="337AB7"/>
            <w:sz w:val="21"/>
            <w:szCs w:val="21"/>
            <w:u w:val="single"/>
            <w:lang w:val="en"/>
          </w:rPr>
          <w:t>See what HP vPV can do for you by downloading it here.</w:t>
        </w:r>
      </w:hyperlink>
      <w:r w:rsidR="002879B9" w:rsidRPr="002879B9">
        <w:rPr>
          <w:rFonts w:ascii="Metric Medium" w:eastAsia="Times New Roman" w:hAnsi="Metric Medium" w:cs="Helvetica"/>
          <w:b/>
          <w:bCs/>
          <w:color w:val="000000"/>
          <w:sz w:val="21"/>
          <w:szCs w:val="21"/>
          <w:lang w:val="en"/>
        </w:rPr>
        <w:t xml:space="preserve"> </w:t>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 </w:t>
      </w:r>
    </w:p>
    <w:p w:rsidR="002879B9" w:rsidRPr="002879B9" w:rsidRDefault="004024B9" w:rsidP="002879B9">
      <w:pPr>
        <w:shd w:val="clear" w:color="auto" w:fill="FFFFFF"/>
        <w:spacing w:after="225" w:line="240" w:lineRule="auto"/>
        <w:jc w:val="center"/>
        <w:rPr>
          <w:rFonts w:ascii="Metric Medium" w:eastAsia="Times New Roman" w:hAnsi="Metric Medium" w:cs="Helvetica"/>
          <w:color w:val="000000"/>
          <w:sz w:val="21"/>
          <w:szCs w:val="21"/>
          <w:lang w:val="en"/>
        </w:rPr>
      </w:pPr>
      <w:hyperlink r:id="rId6" w:tgtFrame="_blank" w:history="1">
        <w:r w:rsidR="002879B9" w:rsidRPr="002879B9">
          <w:rPr>
            <w:rFonts w:ascii="Metric Medium" w:eastAsia="Times New Roman" w:hAnsi="Metric Medium" w:cs="Helvetica"/>
            <w:color w:val="337AB7"/>
            <w:sz w:val="21"/>
            <w:szCs w:val="21"/>
            <w:u w:val="single"/>
            <w:lang w:val="en"/>
          </w:rPr>
          <w:t>HP Virtualization Performance Viewer </w:t>
        </w:r>
      </w:hyperlink>
      <w:r w:rsidR="002879B9" w:rsidRPr="002879B9">
        <w:rPr>
          <w:rFonts w:ascii="Metric Medium" w:eastAsia="Times New Roman" w:hAnsi="Metric Medium" w:cs="Helvetica"/>
          <w:color w:val="000000"/>
          <w:sz w:val="21"/>
          <w:szCs w:val="21"/>
          <w:lang w:val="en"/>
        </w:rPr>
        <w:t>performs the VM Sizing analysis as follows:</w:t>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b/>
          <w:bCs/>
          <w:color w:val="000000"/>
          <w:sz w:val="21"/>
          <w:szCs w:val="21"/>
          <w:lang w:val="en"/>
        </w:rPr>
        <w:t xml:space="preserve">Undersized VM Analysis </w:t>
      </w:r>
    </w:p>
    <w:p w:rsidR="002879B9" w:rsidRPr="002879B9" w:rsidRDefault="002879B9" w:rsidP="002879B9">
      <w:pPr>
        <w:numPr>
          <w:ilvl w:val="0"/>
          <w:numId w:val="1"/>
        </w:numPr>
        <w:shd w:val="clear" w:color="auto" w:fill="FFFFFF"/>
        <w:spacing w:before="100" w:beforeAutospacing="1" w:after="100" w:afterAutospacing="1"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VPV obtains the utilization threshold (capacity – headroom). The default headroom is provided by VPV. The user can change this. </w:t>
      </w:r>
    </w:p>
    <w:p w:rsidR="002879B9" w:rsidRPr="002879B9" w:rsidRDefault="002879B9" w:rsidP="002879B9">
      <w:pPr>
        <w:numPr>
          <w:ilvl w:val="0"/>
          <w:numId w:val="1"/>
        </w:numPr>
        <w:shd w:val="clear" w:color="auto" w:fill="FFFFFF"/>
        <w:spacing w:before="100" w:beforeAutospacing="1" w:after="100" w:afterAutospacing="1"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VPV compares the resource (CPU/memory) utilization against utilization threshold for a specified analysis period.</w:t>
      </w:r>
    </w:p>
    <w:p w:rsidR="002879B9" w:rsidRPr="002879B9" w:rsidRDefault="002879B9" w:rsidP="002879B9">
      <w:pPr>
        <w:numPr>
          <w:ilvl w:val="0"/>
          <w:numId w:val="1"/>
        </w:numPr>
        <w:shd w:val="clear" w:color="auto" w:fill="FFFFFF"/>
        <w:spacing w:before="100" w:beforeAutospacing="1" w:after="100" w:afterAutospacing="1"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If 75 percent of the time, the resource usage exceeds the utilization threshold, that VM is considered as Undersized.</w:t>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The following figure illustrates the calculation of an undersized VM.</w:t>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 </w:t>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    </w:t>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 </w:t>
      </w:r>
      <w:r w:rsidRPr="002879B9">
        <w:rPr>
          <w:rFonts w:ascii="Metric Medium" w:eastAsia="Times New Roman" w:hAnsi="Metric Medium" w:cs="Helvetica"/>
          <w:noProof/>
          <w:color w:val="000000"/>
          <w:sz w:val="21"/>
          <w:szCs w:val="21"/>
        </w:rPr>
        <w:drawing>
          <wp:inline distT="0" distB="0" distL="0" distR="0">
            <wp:extent cx="8534400" cy="6164580"/>
            <wp:effectExtent l="0" t="0" r="0" b="7620"/>
            <wp:docPr id="3" name="Picture 3" descr="https://community.saas.hpe.com/legacyfs/online/images/47842i5BEA5341DE7D6058/image-size/large?v=mpbl-1&amp;px=-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ommunity.saas.hpe.com/legacyfs/online/images/47842i5BEA5341DE7D6058/image-size/large?v=mpbl-1&amp;px=-1%2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534400" cy="6164580"/>
                    </a:xfrm>
                    <a:prstGeom prst="rect">
                      <a:avLst/>
                    </a:prstGeom>
                    <a:noFill/>
                    <a:ln>
                      <a:noFill/>
                    </a:ln>
                  </pic:spPr>
                </pic:pic>
              </a:graphicData>
            </a:graphic>
          </wp:inline>
        </w:drawing>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 </w:t>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 </w:t>
      </w:r>
      <w:r w:rsidRPr="002879B9">
        <w:rPr>
          <w:rFonts w:ascii="Metric Medium" w:eastAsia="Times New Roman" w:hAnsi="Metric Medium" w:cs="Helvetica"/>
          <w:b/>
          <w:bCs/>
          <w:color w:val="000000"/>
          <w:sz w:val="21"/>
          <w:szCs w:val="21"/>
          <w:lang w:val="en"/>
        </w:rPr>
        <w:t xml:space="preserve">Oversized VM Analysis </w:t>
      </w:r>
    </w:p>
    <w:p w:rsidR="002879B9" w:rsidRPr="002879B9" w:rsidRDefault="002879B9" w:rsidP="00422C37">
      <w:pPr>
        <w:numPr>
          <w:ilvl w:val="0"/>
          <w:numId w:val="2"/>
        </w:numPr>
        <w:shd w:val="clear" w:color="auto" w:fill="FFFFFF"/>
        <w:spacing w:before="100" w:beforeAutospacing="1" w:after="100" w:afterAutospacing="1" w:line="240" w:lineRule="auto"/>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VPV will consider all VMs which are not currently undersized for the oversized calculation.</w:t>
      </w:r>
    </w:p>
    <w:p w:rsidR="002879B9" w:rsidRPr="002879B9" w:rsidRDefault="002879B9" w:rsidP="00422C37">
      <w:pPr>
        <w:numPr>
          <w:ilvl w:val="0"/>
          <w:numId w:val="2"/>
        </w:numPr>
        <w:shd w:val="clear" w:color="auto" w:fill="FFFFFF"/>
        <w:spacing w:before="100" w:beforeAutospacing="1" w:after="100" w:afterAutospacing="1" w:line="240" w:lineRule="auto"/>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Like the undersized calculation, VPV obtains the utilization threshold.</w:t>
      </w:r>
    </w:p>
    <w:p w:rsidR="002879B9" w:rsidRPr="002879B9" w:rsidRDefault="002879B9" w:rsidP="00422C37">
      <w:pPr>
        <w:numPr>
          <w:ilvl w:val="0"/>
          <w:numId w:val="2"/>
        </w:numPr>
        <w:shd w:val="clear" w:color="auto" w:fill="FFFFFF"/>
        <w:spacing w:before="100" w:beforeAutospacing="1" w:after="100" w:afterAutospacing="1" w:line="240" w:lineRule="auto"/>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Find the P95 of utilization and calculate the required CPU/memory for that utilization. </w:t>
      </w:r>
    </w:p>
    <w:p w:rsidR="002879B9" w:rsidRPr="002879B9" w:rsidRDefault="002879B9" w:rsidP="00422C37">
      <w:pPr>
        <w:numPr>
          <w:ilvl w:val="0"/>
          <w:numId w:val="2"/>
        </w:numPr>
        <w:shd w:val="clear" w:color="auto" w:fill="FFFFFF"/>
        <w:spacing w:before="100" w:beforeAutospacing="1" w:after="100" w:afterAutospacing="1" w:line="240" w:lineRule="auto"/>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If the current CPU/Memory is greater than the required CPU/Memory, the Virtual Machine is considered as oversized else right sized. </w:t>
      </w:r>
    </w:p>
    <w:p w:rsidR="002879B9" w:rsidRPr="002879B9" w:rsidRDefault="002879B9" w:rsidP="00422C37">
      <w:pPr>
        <w:numPr>
          <w:ilvl w:val="0"/>
          <w:numId w:val="2"/>
        </w:numPr>
        <w:shd w:val="clear" w:color="auto" w:fill="FFFFFF"/>
        <w:spacing w:before="100" w:beforeAutospacing="1" w:after="100" w:afterAutospacing="1" w:line="240" w:lineRule="auto"/>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lastRenderedPageBreak/>
        <w:t>The reclaimable CPU/Memory for an oversized VM is equal to the Recommended CPU/Memory minus the allocated CPU/Memory in VPV. </w:t>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The following figure illustrates the example of an oversized VM:</w:t>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 </w:t>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 </w:t>
      </w:r>
      <w:r w:rsidRPr="002879B9">
        <w:rPr>
          <w:rFonts w:ascii="Metric Medium" w:eastAsia="Times New Roman" w:hAnsi="Metric Medium" w:cs="Helvetica"/>
          <w:noProof/>
          <w:color w:val="000000"/>
          <w:sz w:val="21"/>
          <w:szCs w:val="21"/>
        </w:rPr>
        <w:drawing>
          <wp:inline distT="0" distB="0" distL="0" distR="0">
            <wp:extent cx="8717280" cy="5783580"/>
            <wp:effectExtent l="0" t="0" r="7620" b="7620"/>
            <wp:docPr id="2" name="Picture 2" descr="https://community.saas.hpe.com/legacyfs/online/images/47844iC62020C04C2A73B4/image-size/large?v=mpbl-1&amp;px=-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ommunity.saas.hpe.com/legacyfs/online/images/47844iC62020C04C2A73B4/image-size/large?v=mpbl-1&amp;px=-1%2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717280" cy="5783580"/>
                    </a:xfrm>
                    <a:prstGeom prst="rect">
                      <a:avLst/>
                    </a:prstGeom>
                    <a:noFill/>
                    <a:ln>
                      <a:noFill/>
                    </a:ln>
                  </pic:spPr>
                </pic:pic>
              </a:graphicData>
            </a:graphic>
          </wp:inline>
        </w:drawing>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 </w:t>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Note: Virtualization Performance Viewer will consider the VMs with high CPU Contention as oversized.</w:t>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 </w:t>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b/>
          <w:bCs/>
          <w:color w:val="000000"/>
          <w:sz w:val="21"/>
          <w:szCs w:val="21"/>
          <w:lang w:val="en"/>
        </w:rPr>
        <w:t xml:space="preserve">Data Store Analysis </w:t>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To ensure optimal usage of the existing enterprise resources, the administrator must be able to monitor the VMs that are idle or powered-off for a long time. </w:t>
      </w:r>
      <w:hyperlink r:id="rId9" w:tgtFrame="_blank" w:history="1">
        <w:r w:rsidRPr="002879B9">
          <w:rPr>
            <w:rFonts w:ascii="Metric Medium" w:eastAsia="Times New Roman" w:hAnsi="Metric Medium" w:cs="Helvetica"/>
            <w:color w:val="337AB7"/>
            <w:sz w:val="21"/>
            <w:szCs w:val="21"/>
            <w:u w:val="single"/>
            <w:lang w:val="en"/>
          </w:rPr>
          <w:t>Virtualization Performance Viewer</w:t>
        </w:r>
      </w:hyperlink>
      <w:r w:rsidRPr="002879B9">
        <w:rPr>
          <w:rFonts w:ascii="Metric Medium" w:eastAsia="Times New Roman" w:hAnsi="Metric Medium" w:cs="Helvetica"/>
          <w:color w:val="000000"/>
          <w:sz w:val="21"/>
          <w:szCs w:val="21"/>
          <w:lang w:val="en"/>
        </w:rPr>
        <w:t xml:space="preserve"> identifies these VMs that have been idle or powered-off and recommends the resource that the administrator can reclaim from the same. This enables the user to identify and reduce the VM sprawl.</w:t>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b/>
          <w:bCs/>
          <w:color w:val="000000"/>
          <w:sz w:val="21"/>
          <w:szCs w:val="21"/>
          <w:lang w:val="en"/>
        </w:rPr>
        <w:t xml:space="preserve">Idle VM Analysis  </w:t>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Idle VMs are those that have very low utilization for a prolonged period of time. Virtualization Performance Viewer identifies the idle VMs base on the ‘idle percentage’ of the VM. If the idle percentage is greater than 90 percent for most of the time in a specified analysis period, that VM is considered “idle”.  The administrator can either delete the VM or reclaim the disk allocated for that VM.</w:t>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b/>
          <w:bCs/>
          <w:color w:val="000000"/>
          <w:sz w:val="21"/>
          <w:szCs w:val="21"/>
          <w:lang w:val="en"/>
        </w:rPr>
        <w:t xml:space="preserve">Powered-off VM analysis  </w:t>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Virtualization Performance |Viewer monitors all the power consumed from the VMs and calculates the percentage ratio of the total powered off time and compares it against the total analysis time period. If the VM is powered off most of the time, VPV marks the VM as “powered off”. If the VM is deleted from inventory the admin can reclaim the disk allocated for powered off VMs. </w:t>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The following figure illustrates powered-off VM analysis:</w:t>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 </w:t>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noProof/>
          <w:color w:val="000000"/>
          <w:sz w:val="21"/>
          <w:szCs w:val="21"/>
        </w:rPr>
        <w:drawing>
          <wp:inline distT="0" distB="0" distL="0" distR="0">
            <wp:extent cx="7947660" cy="2438400"/>
            <wp:effectExtent l="0" t="0" r="0" b="0"/>
            <wp:docPr id="1" name="Picture 1" descr="https://community.saas.hpe.com/legacyfs/online/images/47846iE100BF86D7C55C21/image-size/large?v=mpbl-1&amp;px=-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community.saas.hpe.com/legacyfs/online/images/47846iE100BF86D7C55C21/image-size/large?v=mpbl-1&amp;px=-1%2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947660" cy="2438400"/>
                    </a:xfrm>
                    <a:prstGeom prst="rect">
                      <a:avLst/>
                    </a:prstGeom>
                    <a:noFill/>
                    <a:ln>
                      <a:noFill/>
                    </a:ln>
                  </pic:spPr>
                </pic:pic>
              </a:graphicData>
            </a:graphic>
          </wp:inline>
        </w:drawing>
      </w:r>
    </w:p>
    <w:p w:rsidR="002879B9" w:rsidRPr="002879B9" w:rsidRDefault="002879B9" w:rsidP="002879B9">
      <w:pPr>
        <w:shd w:val="clear" w:color="auto" w:fill="FFFFFF"/>
        <w:spacing w:after="225"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 xml:space="preserve">To learn more about HP Virtualization Performance Viewer, please visit the </w:t>
      </w:r>
      <w:hyperlink r:id="rId11" w:tgtFrame="_blank" w:history="1">
        <w:r w:rsidRPr="002879B9">
          <w:rPr>
            <w:rFonts w:ascii="Metric Medium" w:eastAsia="Times New Roman" w:hAnsi="Metric Medium" w:cs="Helvetica"/>
            <w:color w:val="337AB7"/>
            <w:sz w:val="21"/>
            <w:szCs w:val="21"/>
            <w:u w:val="single"/>
            <w:lang w:val="en"/>
          </w:rPr>
          <w:t>vPV Home Page.</w:t>
        </w:r>
      </w:hyperlink>
    </w:p>
    <w:p w:rsidR="002879B9" w:rsidRPr="002879B9" w:rsidRDefault="004024B9" w:rsidP="002879B9">
      <w:pPr>
        <w:shd w:val="clear" w:color="auto" w:fill="FFFFFF"/>
        <w:spacing w:after="225" w:line="240" w:lineRule="auto"/>
        <w:jc w:val="center"/>
        <w:rPr>
          <w:rFonts w:ascii="Metric Medium" w:eastAsia="Times New Roman" w:hAnsi="Metric Medium" w:cs="Helvetica"/>
          <w:color w:val="000000"/>
          <w:sz w:val="21"/>
          <w:szCs w:val="21"/>
          <w:lang w:val="en"/>
        </w:rPr>
      </w:pPr>
      <w:hyperlink r:id="rId12" w:tgtFrame="_blank" w:history="1">
        <w:r w:rsidR="002879B9" w:rsidRPr="002879B9">
          <w:rPr>
            <w:rFonts w:ascii="Metric Medium" w:eastAsia="Times New Roman" w:hAnsi="Metric Medium" w:cs="Helvetica"/>
            <w:b/>
            <w:bCs/>
            <w:color w:val="337AB7"/>
            <w:sz w:val="21"/>
            <w:szCs w:val="21"/>
            <w:u w:val="single"/>
            <w:lang w:val="en"/>
          </w:rPr>
          <w:t>You can also experience HP vPV for yourself by downloading it here.</w:t>
        </w:r>
      </w:hyperlink>
      <w:r w:rsidR="002879B9" w:rsidRPr="002879B9">
        <w:rPr>
          <w:rFonts w:ascii="Metric Medium" w:eastAsia="Times New Roman" w:hAnsi="Metric Medium" w:cs="Helvetica"/>
          <w:b/>
          <w:bCs/>
          <w:color w:val="000000"/>
          <w:sz w:val="21"/>
          <w:szCs w:val="21"/>
          <w:lang w:val="en"/>
        </w:rPr>
        <w:t xml:space="preserve"> </w:t>
      </w:r>
    </w:p>
    <w:p w:rsidR="002879B9" w:rsidRPr="002879B9" w:rsidRDefault="002879B9" w:rsidP="002879B9">
      <w:pPr>
        <w:shd w:val="clear" w:color="auto" w:fill="FFFFFF"/>
        <w:spacing w:line="240" w:lineRule="auto"/>
        <w:jc w:val="center"/>
        <w:rPr>
          <w:rFonts w:ascii="Metric Medium" w:eastAsia="Times New Roman" w:hAnsi="Metric Medium" w:cs="Helvetica"/>
          <w:color w:val="000000"/>
          <w:sz w:val="21"/>
          <w:szCs w:val="21"/>
          <w:lang w:val="en"/>
        </w:rPr>
      </w:pPr>
      <w:r w:rsidRPr="002879B9">
        <w:rPr>
          <w:rFonts w:ascii="Metric Medium" w:eastAsia="Times New Roman" w:hAnsi="Metric Medium" w:cs="Helvetica"/>
          <w:color w:val="000000"/>
          <w:sz w:val="21"/>
          <w:szCs w:val="21"/>
          <w:lang w:val="en"/>
        </w:rPr>
        <w:t> </w:t>
      </w:r>
    </w:p>
    <w:p w:rsidR="0094748A" w:rsidRDefault="0094748A"/>
    <w:sectPr w:rsidR="009474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etric Medium">
    <w:altName w:val="Times New Roman"/>
    <w:panose1 w:val="00000000000000000000"/>
    <w:charset w:val="00"/>
    <w:family w:val="roman"/>
    <w:notTrueType/>
    <w:pitch w:val="default"/>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86318C"/>
    <w:multiLevelType w:val="multilevel"/>
    <w:tmpl w:val="002040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7330823"/>
    <w:multiLevelType w:val="multilevel"/>
    <w:tmpl w:val="A7840A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79B9"/>
    <w:rsid w:val="002879B9"/>
    <w:rsid w:val="004024B9"/>
    <w:rsid w:val="00422C37"/>
    <w:rsid w:val="009474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9EE6F49-F67A-4ADE-83A0-802319CC4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7292104">
      <w:bodyDiv w:val="1"/>
      <w:marLeft w:val="0"/>
      <w:marRight w:val="0"/>
      <w:marTop w:val="0"/>
      <w:marBottom w:val="0"/>
      <w:divBdr>
        <w:top w:val="none" w:sz="0" w:space="0" w:color="auto"/>
        <w:left w:val="none" w:sz="0" w:space="0" w:color="auto"/>
        <w:bottom w:val="none" w:sz="0" w:space="0" w:color="auto"/>
        <w:right w:val="none" w:sz="0" w:space="0" w:color="auto"/>
      </w:divBdr>
      <w:divsChild>
        <w:div w:id="1978489010">
          <w:marLeft w:val="0"/>
          <w:marRight w:val="0"/>
          <w:marTop w:val="0"/>
          <w:marBottom w:val="0"/>
          <w:divBdr>
            <w:top w:val="none" w:sz="0" w:space="0" w:color="auto"/>
            <w:left w:val="none" w:sz="0" w:space="0" w:color="auto"/>
            <w:bottom w:val="none" w:sz="0" w:space="0" w:color="auto"/>
            <w:right w:val="none" w:sz="0" w:space="0" w:color="auto"/>
          </w:divBdr>
          <w:divsChild>
            <w:div w:id="2010256455">
              <w:marLeft w:val="0"/>
              <w:marRight w:val="0"/>
              <w:marTop w:val="0"/>
              <w:marBottom w:val="0"/>
              <w:divBdr>
                <w:top w:val="none" w:sz="0" w:space="0" w:color="auto"/>
                <w:left w:val="none" w:sz="0" w:space="0" w:color="auto"/>
                <w:bottom w:val="none" w:sz="0" w:space="0" w:color="auto"/>
                <w:right w:val="none" w:sz="0" w:space="0" w:color="auto"/>
              </w:divBdr>
              <w:divsChild>
                <w:div w:id="1458987278">
                  <w:marLeft w:val="0"/>
                  <w:marRight w:val="0"/>
                  <w:marTop w:val="0"/>
                  <w:marBottom w:val="0"/>
                  <w:divBdr>
                    <w:top w:val="none" w:sz="0" w:space="0" w:color="auto"/>
                    <w:left w:val="none" w:sz="0" w:space="0" w:color="auto"/>
                    <w:bottom w:val="none" w:sz="0" w:space="0" w:color="auto"/>
                    <w:right w:val="none" w:sz="0" w:space="0" w:color="auto"/>
                  </w:divBdr>
                  <w:divsChild>
                    <w:div w:id="1084063465">
                      <w:marLeft w:val="0"/>
                      <w:marRight w:val="0"/>
                      <w:marTop w:val="0"/>
                      <w:marBottom w:val="0"/>
                      <w:divBdr>
                        <w:top w:val="none" w:sz="0" w:space="0" w:color="auto"/>
                        <w:left w:val="none" w:sz="0" w:space="0" w:color="auto"/>
                        <w:bottom w:val="none" w:sz="0" w:space="0" w:color="auto"/>
                        <w:right w:val="none" w:sz="0" w:space="0" w:color="auto"/>
                      </w:divBdr>
                      <w:divsChild>
                        <w:div w:id="1117332951">
                          <w:marLeft w:val="0"/>
                          <w:marRight w:val="0"/>
                          <w:marTop w:val="0"/>
                          <w:marBottom w:val="0"/>
                          <w:divBdr>
                            <w:top w:val="none" w:sz="0" w:space="0" w:color="auto"/>
                            <w:left w:val="none" w:sz="0" w:space="0" w:color="auto"/>
                            <w:bottom w:val="none" w:sz="0" w:space="0" w:color="auto"/>
                            <w:right w:val="none" w:sz="0" w:space="0" w:color="auto"/>
                          </w:divBdr>
                          <w:divsChild>
                            <w:div w:id="1584489033">
                              <w:marLeft w:val="0"/>
                              <w:marRight w:val="0"/>
                              <w:marTop w:val="0"/>
                              <w:marBottom w:val="0"/>
                              <w:divBdr>
                                <w:top w:val="none" w:sz="0" w:space="0" w:color="auto"/>
                                <w:left w:val="none" w:sz="0" w:space="0" w:color="auto"/>
                                <w:bottom w:val="none" w:sz="0" w:space="0" w:color="auto"/>
                                <w:right w:val="none" w:sz="0" w:space="0" w:color="auto"/>
                              </w:divBdr>
                              <w:divsChild>
                                <w:div w:id="22020258">
                                  <w:marLeft w:val="0"/>
                                  <w:marRight w:val="0"/>
                                  <w:marTop w:val="0"/>
                                  <w:marBottom w:val="0"/>
                                  <w:divBdr>
                                    <w:top w:val="none" w:sz="0" w:space="0" w:color="auto"/>
                                    <w:left w:val="none" w:sz="0" w:space="0" w:color="auto"/>
                                    <w:bottom w:val="none" w:sz="0" w:space="0" w:color="auto"/>
                                    <w:right w:val="none" w:sz="0" w:space="0" w:color="auto"/>
                                  </w:divBdr>
                                  <w:divsChild>
                                    <w:div w:id="1363441222">
                                      <w:marLeft w:val="0"/>
                                      <w:marRight w:val="0"/>
                                      <w:marTop w:val="0"/>
                                      <w:marBottom w:val="0"/>
                                      <w:divBdr>
                                        <w:top w:val="none" w:sz="0" w:space="0" w:color="auto"/>
                                        <w:left w:val="none" w:sz="0" w:space="0" w:color="auto"/>
                                        <w:bottom w:val="none" w:sz="0" w:space="0" w:color="auto"/>
                                        <w:right w:val="none" w:sz="0" w:space="0" w:color="auto"/>
                                      </w:divBdr>
                                      <w:divsChild>
                                        <w:div w:id="884944955">
                                          <w:marLeft w:val="0"/>
                                          <w:marRight w:val="0"/>
                                          <w:marTop w:val="0"/>
                                          <w:marBottom w:val="0"/>
                                          <w:divBdr>
                                            <w:top w:val="none" w:sz="0" w:space="0" w:color="auto"/>
                                            <w:left w:val="none" w:sz="0" w:space="0" w:color="auto"/>
                                            <w:bottom w:val="none" w:sz="0" w:space="0" w:color="auto"/>
                                            <w:right w:val="none" w:sz="0" w:space="0" w:color="auto"/>
                                          </w:divBdr>
                                          <w:divsChild>
                                            <w:div w:id="773479352">
                                              <w:marLeft w:val="0"/>
                                              <w:marRight w:val="0"/>
                                              <w:marTop w:val="0"/>
                                              <w:marBottom w:val="0"/>
                                              <w:divBdr>
                                                <w:top w:val="none" w:sz="0" w:space="0" w:color="auto"/>
                                                <w:left w:val="none" w:sz="0" w:space="0" w:color="auto"/>
                                                <w:bottom w:val="none" w:sz="0" w:space="0" w:color="auto"/>
                                                <w:right w:val="none" w:sz="0" w:space="0" w:color="auto"/>
                                              </w:divBdr>
                                              <w:divsChild>
                                                <w:div w:id="685375566">
                                                  <w:marLeft w:val="0"/>
                                                  <w:marRight w:val="0"/>
                                                  <w:marTop w:val="0"/>
                                                  <w:marBottom w:val="0"/>
                                                  <w:divBdr>
                                                    <w:top w:val="none" w:sz="0" w:space="0" w:color="auto"/>
                                                    <w:left w:val="none" w:sz="0" w:space="0" w:color="auto"/>
                                                    <w:bottom w:val="none" w:sz="0" w:space="0" w:color="auto"/>
                                                    <w:right w:val="none" w:sz="0" w:space="0" w:color="auto"/>
                                                  </w:divBdr>
                                                  <w:divsChild>
                                                    <w:div w:id="1957101933">
                                                      <w:marLeft w:val="0"/>
                                                      <w:marRight w:val="0"/>
                                                      <w:marTop w:val="0"/>
                                                      <w:marBottom w:val="0"/>
                                                      <w:divBdr>
                                                        <w:top w:val="none" w:sz="0" w:space="0" w:color="auto"/>
                                                        <w:left w:val="none" w:sz="0" w:space="0" w:color="auto"/>
                                                        <w:bottom w:val="none" w:sz="0" w:space="0" w:color="auto"/>
                                                        <w:right w:val="none" w:sz="0" w:space="0" w:color="auto"/>
                                                      </w:divBdr>
                                                      <w:divsChild>
                                                        <w:div w:id="1492797912">
                                                          <w:marLeft w:val="0"/>
                                                          <w:marRight w:val="0"/>
                                                          <w:marTop w:val="0"/>
                                                          <w:marBottom w:val="0"/>
                                                          <w:divBdr>
                                                            <w:top w:val="none" w:sz="0" w:space="0" w:color="auto"/>
                                                            <w:left w:val="none" w:sz="0" w:space="0" w:color="auto"/>
                                                            <w:bottom w:val="none" w:sz="0" w:space="0" w:color="auto"/>
                                                            <w:right w:val="none" w:sz="0" w:space="0" w:color="auto"/>
                                                          </w:divBdr>
                                                          <w:divsChild>
                                                            <w:div w:id="904222411">
                                                              <w:marLeft w:val="0"/>
                                                              <w:marRight w:val="0"/>
                                                              <w:marTop w:val="0"/>
                                                              <w:marBottom w:val="0"/>
                                                              <w:divBdr>
                                                                <w:top w:val="none" w:sz="0" w:space="0" w:color="auto"/>
                                                                <w:left w:val="none" w:sz="0" w:space="0" w:color="auto"/>
                                                                <w:bottom w:val="none" w:sz="0" w:space="0" w:color="auto"/>
                                                                <w:right w:val="none" w:sz="0" w:space="0" w:color="auto"/>
                                                              </w:divBdr>
                                                              <w:divsChild>
                                                                <w:div w:id="1925188370">
                                                                  <w:marLeft w:val="0"/>
                                                                  <w:marRight w:val="0"/>
                                                                  <w:marTop w:val="0"/>
                                                                  <w:marBottom w:val="0"/>
                                                                  <w:divBdr>
                                                                    <w:top w:val="none" w:sz="0" w:space="0" w:color="auto"/>
                                                                    <w:left w:val="none" w:sz="0" w:space="0" w:color="auto"/>
                                                                    <w:bottom w:val="none" w:sz="0" w:space="0" w:color="auto"/>
                                                                    <w:right w:val="none" w:sz="0" w:space="0" w:color="auto"/>
                                                                  </w:divBdr>
                                                                  <w:divsChild>
                                                                    <w:div w:id="1218856481">
                                                                      <w:marLeft w:val="0"/>
                                                                      <w:marRight w:val="0"/>
                                                                      <w:marTop w:val="0"/>
                                                                      <w:marBottom w:val="0"/>
                                                                      <w:divBdr>
                                                                        <w:top w:val="none" w:sz="0" w:space="0" w:color="auto"/>
                                                                        <w:left w:val="none" w:sz="0" w:space="0" w:color="auto"/>
                                                                        <w:bottom w:val="none" w:sz="0" w:space="0" w:color="auto"/>
                                                                        <w:right w:val="none" w:sz="0" w:space="0" w:color="auto"/>
                                                                      </w:divBdr>
                                                                      <w:divsChild>
                                                                        <w:div w:id="828667407">
                                                                          <w:marLeft w:val="0"/>
                                                                          <w:marRight w:val="0"/>
                                                                          <w:marTop w:val="0"/>
                                                                          <w:marBottom w:val="0"/>
                                                                          <w:divBdr>
                                                                            <w:top w:val="none" w:sz="0" w:space="0" w:color="auto"/>
                                                                            <w:left w:val="none" w:sz="0" w:space="0" w:color="auto"/>
                                                                            <w:bottom w:val="none" w:sz="0" w:space="0" w:color="auto"/>
                                                                            <w:right w:val="none" w:sz="0" w:space="0" w:color="auto"/>
                                                                          </w:divBdr>
                                                                          <w:divsChild>
                                                                            <w:div w:id="1838423106">
                                                                              <w:marLeft w:val="0"/>
                                                                              <w:marRight w:val="0"/>
                                                                              <w:marTop w:val="0"/>
                                                                              <w:marBottom w:val="0"/>
                                                                              <w:divBdr>
                                                                                <w:top w:val="none" w:sz="0" w:space="0" w:color="auto"/>
                                                                                <w:left w:val="none" w:sz="0" w:space="0" w:color="auto"/>
                                                                                <w:bottom w:val="none" w:sz="0" w:space="0" w:color="auto"/>
                                                                                <w:right w:val="none" w:sz="0" w:space="0" w:color="auto"/>
                                                                              </w:divBdr>
                                                                              <w:divsChild>
                                                                                <w:div w:id="1557817134">
                                                                                  <w:marLeft w:val="0"/>
                                                                                  <w:marRight w:val="0"/>
                                                                                  <w:marTop w:val="0"/>
                                                                                  <w:marBottom w:val="0"/>
                                                                                  <w:divBdr>
                                                                                    <w:top w:val="none" w:sz="0" w:space="0" w:color="auto"/>
                                                                                    <w:left w:val="none" w:sz="0" w:space="0" w:color="auto"/>
                                                                                    <w:bottom w:val="none" w:sz="0" w:space="0" w:color="auto"/>
                                                                                    <w:right w:val="none" w:sz="0" w:space="0" w:color="auto"/>
                                                                                  </w:divBdr>
                                                                                  <w:divsChild>
                                                                                    <w:div w:id="776483132">
                                                                                      <w:marLeft w:val="0"/>
                                                                                      <w:marRight w:val="0"/>
                                                                                      <w:marTop w:val="0"/>
                                                                                      <w:marBottom w:val="0"/>
                                                                                      <w:divBdr>
                                                                                        <w:top w:val="none" w:sz="0" w:space="0" w:color="auto"/>
                                                                                        <w:left w:val="none" w:sz="0" w:space="0" w:color="auto"/>
                                                                                        <w:bottom w:val="none" w:sz="0" w:space="0" w:color="auto"/>
                                                                                        <w:right w:val="none" w:sz="0" w:space="0" w:color="auto"/>
                                                                                      </w:divBdr>
                                                                                      <w:divsChild>
                                                                                        <w:div w:id="1481342409">
                                                                                          <w:marLeft w:val="0"/>
                                                                                          <w:marRight w:val="0"/>
                                                                                          <w:marTop w:val="0"/>
                                                                                          <w:marBottom w:val="0"/>
                                                                                          <w:divBdr>
                                                                                            <w:top w:val="none" w:sz="0" w:space="0" w:color="auto"/>
                                                                                            <w:left w:val="none" w:sz="0" w:space="0" w:color="auto"/>
                                                                                            <w:bottom w:val="none" w:sz="0" w:space="0" w:color="auto"/>
                                                                                            <w:right w:val="none" w:sz="0" w:space="0" w:color="auto"/>
                                                                                          </w:divBdr>
                                                                                          <w:divsChild>
                                                                                            <w:div w:id="2092695627">
                                                                                              <w:marLeft w:val="0"/>
                                                                                              <w:marRight w:val="0"/>
                                                                                              <w:marTop w:val="0"/>
                                                                                              <w:marBottom w:val="0"/>
                                                                                              <w:divBdr>
                                                                                                <w:top w:val="none" w:sz="0" w:space="0" w:color="auto"/>
                                                                                                <w:left w:val="none" w:sz="0" w:space="0" w:color="auto"/>
                                                                                                <w:bottom w:val="none" w:sz="0" w:space="0" w:color="auto"/>
                                                                                                <w:right w:val="none" w:sz="0" w:space="0" w:color="auto"/>
                                                                                              </w:divBdr>
                                                                                              <w:divsChild>
                                                                                                <w:div w:id="1091245701">
                                                                                                  <w:marLeft w:val="0"/>
                                                                                                  <w:marRight w:val="0"/>
                                                                                                  <w:marTop w:val="0"/>
                                                                                                  <w:marBottom w:val="0"/>
                                                                                                  <w:divBdr>
                                                                                                    <w:top w:val="none" w:sz="0" w:space="0" w:color="auto"/>
                                                                                                    <w:left w:val="none" w:sz="0" w:space="0" w:color="auto"/>
                                                                                                    <w:bottom w:val="none" w:sz="0" w:space="0" w:color="auto"/>
                                                                                                    <w:right w:val="none" w:sz="0" w:space="0" w:color="auto"/>
                                                                                                  </w:divBdr>
                                                                                                  <w:divsChild>
                                                                                                    <w:div w:id="903872730">
                                                                                                      <w:marLeft w:val="0"/>
                                                                                                      <w:marRight w:val="0"/>
                                                                                                      <w:marTop w:val="0"/>
                                                                                                      <w:marBottom w:val="300"/>
                                                                                                      <w:divBdr>
                                                                                                        <w:top w:val="none" w:sz="0" w:space="0" w:color="auto"/>
                                                                                                        <w:left w:val="none" w:sz="0" w:space="0" w:color="auto"/>
                                                                                                        <w:bottom w:val="none" w:sz="0" w:space="0" w:color="auto"/>
                                                                                                        <w:right w:val="none" w:sz="0" w:space="0" w:color="auto"/>
                                                                                                      </w:divBdr>
                                                                                                      <w:divsChild>
                                                                                                        <w:div w:id="82662628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hpsw.co/n9T4Nqb"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hpsw.co/Wn6s9XP" TargetMode="External"/><Relationship Id="rId11" Type="http://schemas.openxmlformats.org/officeDocument/2006/relationships/hyperlink" Target="http://hpsw.co/Wn6s9XP" TargetMode="External"/><Relationship Id="rId5" Type="http://schemas.openxmlformats.org/officeDocument/2006/relationships/hyperlink" Target="http://hpsw.co/n9T4Nqb" TargetMode="Externa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hpsw.co/Wn6s9X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580</Words>
  <Characters>3193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Hewlett Packard</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Wells, Mary F (GSPM Ops Bridge, OMi, OBR, OBA, SHA, SHO)</dc:creator>
  <cp:keywords/>
  <dc:description/>
  <cp:lastModifiedBy>Patrick Westdorp</cp:lastModifiedBy>
  <cp:revision>2</cp:revision>
  <dcterms:created xsi:type="dcterms:W3CDTF">2018-07-11T09:24:00Z</dcterms:created>
  <dcterms:modified xsi:type="dcterms:W3CDTF">2018-07-11T09:24:00Z</dcterms:modified>
</cp:coreProperties>
</file>